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A6B" w:rsidRDefault="009023B1">
      <w:pPr>
        <w:adjustRightInd w:val="0"/>
        <w:snapToGrid w:val="0"/>
        <w:spacing w:line="560" w:lineRule="exact"/>
        <w:ind w:firstLineChars="200" w:firstLine="723"/>
        <w:jc w:val="center"/>
        <w:rPr>
          <w:rFonts w:ascii="黑体" w:eastAsia="黑体" w:hAnsi="黑体" w:cs="宋体"/>
          <w:b/>
          <w:kern w:val="0"/>
          <w:sz w:val="36"/>
          <w:szCs w:val="36"/>
        </w:rPr>
      </w:pPr>
      <w:r>
        <w:rPr>
          <w:rFonts w:ascii="黑体" w:eastAsia="黑体" w:hAnsi="黑体" w:cs="宋体" w:hint="eastAsia"/>
          <w:b/>
          <w:kern w:val="0"/>
          <w:sz w:val="36"/>
          <w:szCs w:val="36"/>
        </w:rPr>
        <w:t>新疆财政支出绩效自评报告编制要求</w:t>
      </w:r>
    </w:p>
    <w:p w:rsidR="00BE2A6B" w:rsidRDefault="009023B1">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一、项目概况</w:t>
      </w:r>
    </w:p>
    <w:p w:rsidR="00BE2A6B" w:rsidRDefault="009023B1">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（一）项目单位基本情况</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城关乡位于县城西部，乡政府驻地距县城</w:t>
      </w:r>
      <w:r>
        <w:rPr>
          <w:rFonts w:ascii="仿宋" w:eastAsia="仿宋" w:hAnsi="仿宋" w:hint="eastAsia"/>
          <w:bCs/>
          <w:spacing w:val="-4"/>
          <w:sz w:val="32"/>
          <w:szCs w:val="32"/>
        </w:rPr>
        <w:t>0.8</w:t>
      </w:r>
      <w:r>
        <w:rPr>
          <w:rFonts w:ascii="仿宋" w:eastAsia="仿宋" w:hAnsi="仿宋" w:hint="eastAsia"/>
          <w:bCs/>
          <w:spacing w:val="-4"/>
          <w:sz w:val="32"/>
          <w:szCs w:val="32"/>
        </w:rPr>
        <w:t>公里，乡境地势东低西高。东西跨距约</w:t>
      </w:r>
      <w:r>
        <w:rPr>
          <w:rFonts w:ascii="仿宋" w:eastAsia="仿宋" w:hAnsi="仿宋" w:hint="eastAsia"/>
          <w:bCs/>
          <w:spacing w:val="-4"/>
          <w:sz w:val="32"/>
          <w:szCs w:val="32"/>
        </w:rPr>
        <w:t>7</w:t>
      </w:r>
      <w:r>
        <w:rPr>
          <w:rFonts w:ascii="仿宋" w:eastAsia="仿宋" w:hAnsi="仿宋" w:hint="eastAsia"/>
          <w:bCs/>
          <w:spacing w:val="-4"/>
          <w:sz w:val="32"/>
          <w:szCs w:val="32"/>
        </w:rPr>
        <w:t>公里，南北跨距</w:t>
      </w:r>
      <w:r>
        <w:rPr>
          <w:rFonts w:ascii="仿宋" w:eastAsia="仿宋" w:hAnsi="仿宋" w:hint="eastAsia"/>
          <w:bCs/>
          <w:spacing w:val="-4"/>
          <w:sz w:val="32"/>
          <w:szCs w:val="32"/>
        </w:rPr>
        <w:t>6</w:t>
      </w:r>
      <w:r>
        <w:rPr>
          <w:rFonts w:ascii="仿宋" w:eastAsia="仿宋" w:hAnsi="仿宋" w:hint="eastAsia"/>
          <w:bCs/>
          <w:spacing w:val="-4"/>
          <w:sz w:val="32"/>
          <w:szCs w:val="32"/>
        </w:rPr>
        <w:t>公里，东连芒辛乡，南临康赛水库与乌恰乡分界，西接龙甫乡，西北与乔勒潘乡相接，北与色提力乡为邻。</w:t>
      </w:r>
    </w:p>
    <w:p w:rsidR="00BE2A6B" w:rsidRDefault="009023B1">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（二）项目预算</w:t>
      </w:r>
      <w:r>
        <w:rPr>
          <w:rStyle w:val="aa"/>
          <w:rFonts w:ascii="楷体" w:eastAsia="楷体" w:hAnsi="楷体"/>
          <w:spacing w:val="-4"/>
          <w:sz w:val="32"/>
          <w:szCs w:val="32"/>
        </w:rPr>
        <w:t>绩效目标</w:t>
      </w:r>
      <w:r>
        <w:rPr>
          <w:rStyle w:val="aa"/>
          <w:rFonts w:ascii="楷体" w:eastAsia="楷体" w:hAnsi="楷体" w:hint="eastAsia"/>
          <w:spacing w:val="-4"/>
          <w:sz w:val="32"/>
          <w:szCs w:val="32"/>
        </w:rPr>
        <w:t>设定情况</w:t>
      </w:r>
    </w:p>
    <w:p w:rsidR="00BE2A6B" w:rsidRDefault="009023B1">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BE2A6B" w:rsidRDefault="009023B1">
      <w:pPr>
        <w:adjustRightInd w:val="0"/>
        <w:snapToGrid w:val="0"/>
        <w:spacing w:line="560" w:lineRule="exact"/>
        <w:ind w:firstLineChars="200" w:firstLine="624"/>
        <w:rPr>
          <w:rFonts w:ascii="仿宋" w:eastAsia="仿宋" w:hAnsi="仿宋"/>
          <w:bCs/>
          <w:spacing w:val="-4"/>
          <w:sz w:val="32"/>
          <w:szCs w:val="32"/>
        </w:rPr>
      </w:pPr>
      <w:bookmarkStart w:id="0" w:name="_Toc405279309"/>
      <w:r>
        <w:rPr>
          <w:rFonts w:ascii="仿宋" w:eastAsia="仿宋" w:hAnsi="仿宋"/>
          <w:bCs/>
          <w:spacing w:val="-4"/>
          <w:sz w:val="32"/>
          <w:szCs w:val="32"/>
        </w:rPr>
        <w:t>提炼概括项目预期达到的产出（</w:t>
      </w:r>
      <w:r>
        <w:rPr>
          <w:rFonts w:ascii="仿宋" w:eastAsia="仿宋" w:hAnsi="仿宋" w:hint="eastAsia"/>
          <w:bCs/>
          <w:spacing w:val="-4"/>
          <w:sz w:val="32"/>
          <w:szCs w:val="32"/>
        </w:rPr>
        <w:t>即量化的数量</w:t>
      </w:r>
      <w:r>
        <w:rPr>
          <w:rFonts w:ascii="仿宋" w:eastAsia="仿宋" w:hAnsi="仿宋"/>
          <w:bCs/>
          <w:spacing w:val="-4"/>
          <w:sz w:val="32"/>
          <w:szCs w:val="32"/>
        </w:rPr>
        <w:t>）和效果。</w:t>
      </w:r>
      <w:bookmarkEnd w:id="0"/>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充分利用家庭院落的空间、周围非承包的空隙坪地和各种资源，从事高度集约化商品生产的一种经营形式，主要有种植业、养殖业、加工业。有的以一业为主从事专业化生产</w:t>
      </w:r>
      <w:r>
        <w:rPr>
          <w:rFonts w:ascii="仿宋" w:eastAsia="仿宋" w:hAnsi="仿宋" w:hint="eastAsia"/>
          <w:bCs/>
          <w:spacing w:val="-4"/>
          <w:sz w:val="32"/>
          <w:szCs w:val="32"/>
        </w:rPr>
        <w:t>;</w:t>
      </w:r>
      <w:r>
        <w:rPr>
          <w:rFonts w:ascii="仿宋" w:eastAsia="仿宋" w:hAnsi="仿宋" w:hint="eastAsia"/>
          <w:bCs/>
          <w:spacing w:val="-4"/>
          <w:sz w:val="32"/>
          <w:szCs w:val="32"/>
        </w:rPr>
        <w:t>有的种、养、加工并举，综合经营</w:t>
      </w:r>
      <w:r>
        <w:rPr>
          <w:rFonts w:ascii="仿宋" w:eastAsia="仿宋" w:hAnsi="仿宋" w:hint="eastAsia"/>
          <w:bCs/>
          <w:spacing w:val="-4"/>
          <w:sz w:val="32"/>
          <w:szCs w:val="32"/>
        </w:rPr>
        <w:t>;</w:t>
      </w:r>
      <w:r>
        <w:rPr>
          <w:rFonts w:ascii="仿宋" w:eastAsia="仿宋" w:hAnsi="仿宋" w:hint="eastAsia"/>
          <w:bCs/>
          <w:spacing w:val="-4"/>
          <w:sz w:val="32"/>
          <w:szCs w:val="32"/>
        </w:rPr>
        <w:t>有的利用有限空间发展立体种养业</w:t>
      </w:r>
      <w:r>
        <w:rPr>
          <w:rFonts w:ascii="仿宋" w:eastAsia="仿宋" w:hAnsi="仿宋" w:hint="eastAsia"/>
          <w:sz w:val="32"/>
          <w:szCs w:val="32"/>
        </w:rPr>
        <w:t>发</w:t>
      </w:r>
      <w:r>
        <w:rPr>
          <w:rFonts w:ascii="仿宋" w:eastAsia="仿宋" w:hAnsi="仿宋" w:hint="eastAsia"/>
          <w:bCs/>
          <w:spacing w:val="-4"/>
          <w:sz w:val="32"/>
          <w:szCs w:val="32"/>
        </w:rPr>
        <w:t>展生产，增加收入。</w:t>
      </w:r>
    </w:p>
    <w:p w:rsidR="00BE2A6B" w:rsidRDefault="009023B1">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本项目性质为长期延续性项目。</w:t>
      </w:r>
    </w:p>
    <w:p w:rsidR="00BE2A6B" w:rsidRDefault="009023B1">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本项目涉及的用途、范围以及主要内容如下：</w:t>
      </w:r>
    </w:p>
    <w:p w:rsidR="00BE2A6B" w:rsidRDefault="009023B1">
      <w:pPr>
        <w:adjustRightInd w:val="0"/>
        <w:snapToGrid w:val="0"/>
        <w:spacing w:line="560" w:lineRule="exact"/>
        <w:rPr>
          <w:rFonts w:ascii="仿宋" w:eastAsia="仿宋" w:hAnsi="仿宋"/>
          <w:bCs/>
          <w:spacing w:val="-4"/>
          <w:sz w:val="32"/>
          <w:szCs w:val="32"/>
        </w:rPr>
      </w:pPr>
      <w:r>
        <w:rPr>
          <w:rFonts w:ascii="仿宋" w:eastAsia="仿宋" w:hAnsi="仿宋" w:hint="eastAsia"/>
          <w:bCs/>
          <w:spacing w:val="-4"/>
          <w:sz w:val="32"/>
          <w:szCs w:val="32"/>
        </w:rPr>
        <w:t>项目用途：农村庭院经济建设补助，补贴农民庭院经济。</w:t>
      </w:r>
    </w:p>
    <w:p w:rsidR="00BE2A6B" w:rsidRDefault="009023B1">
      <w:pPr>
        <w:adjustRightInd w:val="0"/>
        <w:snapToGrid w:val="0"/>
        <w:spacing w:line="560" w:lineRule="exact"/>
        <w:rPr>
          <w:rFonts w:ascii="仿宋" w:eastAsia="仿宋" w:hAnsi="仿宋"/>
          <w:bCs/>
          <w:spacing w:val="-4"/>
          <w:sz w:val="32"/>
          <w:szCs w:val="32"/>
        </w:rPr>
      </w:pPr>
      <w:r>
        <w:rPr>
          <w:rFonts w:ascii="仿宋" w:eastAsia="仿宋" w:hAnsi="仿宋" w:hint="eastAsia"/>
          <w:bCs/>
          <w:spacing w:val="-4"/>
          <w:sz w:val="32"/>
          <w:szCs w:val="32"/>
        </w:rPr>
        <w:t>适用范围：是农村一般户和贫困户家庭。</w:t>
      </w:r>
    </w:p>
    <w:p w:rsidR="00BE2A6B" w:rsidRDefault="009023B1">
      <w:pPr>
        <w:adjustRightInd w:val="0"/>
        <w:snapToGrid w:val="0"/>
        <w:spacing w:line="560" w:lineRule="exact"/>
        <w:rPr>
          <w:rFonts w:ascii="仿宋" w:eastAsia="仿宋" w:hAnsi="仿宋"/>
          <w:bCs/>
          <w:spacing w:val="-4"/>
          <w:sz w:val="32"/>
          <w:szCs w:val="32"/>
        </w:rPr>
      </w:pPr>
      <w:r>
        <w:rPr>
          <w:rFonts w:ascii="仿宋" w:eastAsia="仿宋" w:hAnsi="仿宋" w:hint="eastAsia"/>
          <w:bCs/>
          <w:spacing w:val="-4"/>
          <w:sz w:val="32"/>
          <w:szCs w:val="32"/>
        </w:rPr>
        <w:t>建设内容：农户充分利用家庭院落的空间、周围非承包的空坪隙地和各种资源，从事高度集约化商品生产的一种经营形式，主要有种植业、养殖业、加工业。</w:t>
      </w:r>
    </w:p>
    <w:p w:rsidR="00BE2A6B" w:rsidRDefault="009023B1">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lastRenderedPageBreak/>
        <w:t>二、项目资金使用及管理情况</w:t>
      </w:r>
    </w:p>
    <w:p w:rsidR="00BE2A6B" w:rsidRDefault="009023B1">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（一）项目资金安排落实、总投入等情况分析</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农业资源与生态保护项目预算安排总额为</w:t>
      </w:r>
      <w:r>
        <w:rPr>
          <w:rFonts w:ascii="仿宋" w:eastAsia="仿宋" w:hAnsi="仿宋" w:hint="eastAsia"/>
          <w:bCs/>
          <w:spacing w:val="-4"/>
          <w:sz w:val="32"/>
          <w:szCs w:val="32"/>
        </w:rPr>
        <w:t>17</w:t>
      </w:r>
      <w:r>
        <w:rPr>
          <w:rFonts w:ascii="仿宋" w:eastAsia="仿宋" w:hAnsi="仿宋" w:hint="eastAsia"/>
          <w:bCs/>
          <w:spacing w:val="-4"/>
          <w:sz w:val="32"/>
          <w:szCs w:val="32"/>
        </w:rPr>
        <w:t>万元，其中财政资金</w:t>
      </w:r>
      <w:r>
        <w:rPr>
          <w:rFonts w:ascii="仿宋" w:eastAsia="仿宋" w:hAnsi="仿宋" w:hint="eastAsia"/>
          <w:bCs/>
          <w:spacing w:val="-4"/>
          <w:sz w:val="32"/>
          <w:szCs w:val="32"/>
        </w:rPr>
        <w:t>17</w:t>
      </w:r>
      <w:r>
        <w:rPr>
          <w:rFonts w:ascii="仿宋" w:eastAsia="仿宋" w:hAnsi="仿宋" w:hint="eastAsia"/>
          <w:bCs/>
          <w:spacing w:val="-4"/>
          <w:sz w:val="32"/>
          <w:szCs w:val="32"/>
        </w:rPr>
        <w:t>万元，自筹资金</w:t>
      </w:r>
      <w:r>
        <w:rPr>
          <w:rFonts w:ascii="仿宋" w:eastAsia="仿宋" w:hAnsi="仿宋" w:hint="eastAsia"/>
          <w:bCs/>
          <w:spacing w:val="-4"/>
          <w:sz w:val="32"/>
          <w:szCs w:val="32"/>
        </w:rPr>
        <w:t>0</w:t>
      </w:r>
      <w:r>
        <w:rPr>
          <w:rFonts w:ascii="仿宋" w:eastAsia="仿宋" w:hAnsi="仿宋" w:hint="eastAsia"/>
          <w:bCs/>
          <w:spacing w:val="-4"/>
          <w:sz w:val="32"/>
          <w:szCs w:val="32"/>
        </w:rPr>
        <w:t>万元，</w:t>
      </w:r>
      <w:r>
        <w:rPr>
          <w:rFonts w:ascii="仿宋" w:eastAsia="仿宋" w:hAnsi="仿宋" w:hint="eastAsia"/>
          <w:bCs/>
          <w:spacing w:val="-4"/>
          <w:sz w:val="32"/>
          <w:szCs w:val="32"/>
        </w:rPr>
        <w:t>2018</w:t>
      </w:r>
      <w:r>
        <w:rPr>
          <w:rFonts w:ascii="仿宋" w:eastAsia="仿宋" w:hAnsi="仿宋" w:hint="eastAsia"/>
          <w:bCs/>
          <w:spacing w:val="-4"/>
          <w:sz w:val="32"/>
          <w:szCs w:val="32"/>
        </w:rPr>
        <w:t>年实际收到预算资金</w:t>
      </w:r>
      <w:r>
        <w:rPr>
          <w:rFonts w:ascii="仿宋" w:eastAsia="仿宋" w:hAnsi="仿宋" w:hint="eastAsia"/>
          <w:bCs/>
          <w:spacing w:val="-4"/>
          <w:sz w:val="32"/>
          <w:szCs w:val="32"/>
        </w:rPr>
        <w:t>17</w:t>
      </w:r>
      <w:r>
        <w:rPr>
          <w:rFonts w:ascii="仿宋" w:eastAsia="仿宋" w:hAnsi="仿宋" w:hint="eastAsia"/>
          <w:bCs/>
          <w:spacing w:val="-4"/>
          <w:sz w:val="32"/>
          <w:szCs w:val="32"/>
        </w:rPr>
        <w:t>万元，实际支出项目资金</w:t>
      </w:r>
      <w:r>
        <w:rPr>
          <w:rFonts w:ascii="仿宋" w:eastAsia="仿宋" w:hAnsi="仿宋" w:hint="eastAsia"/>
          <w:bCs/>
          <w:spacing w:val="-4"/>
          <w:sz w:val="32"/>
          <w:szCs w:val="32"/>
        </w:rPr>
        <w:t>17</w:t>
      </w:r>
      <w:r>
        <w:rPr>
          <w:rFonts w:ascii="仿宋" w:eastAsia="仿宋" w:hAnsi="仿宋" w:hint="eastAsia"/>
          <w:bCs/>
          <w:spacing w:val="-4"/>
          <w:sz w:val="32"/>
          <w:szCs w:val="32"/>
        </w:rPr>
        <w:t>万元。</w:t>
      </w:r>
      <w:r>
        <w:rPr>
          <w:rFonts w:ascii="仿宋" w:eastAsia="仿宋" w:hAnsi="仿宋"/>
          <w:sz w:val="32"/>
          <w:szCs w:val="32"/>
        </w:rPr>
        <w:t>”</w:t>
      </w:r>
    </w:p>
    <w:p w:rsidR="00BE2A6B" w:rsidRDefault="009023B1">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（二）项目资金实际使用情况分析</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17</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 xml:space="preserve"> </w:t>
      </w:r>
      <w:r>
        <w:rPr>
          <w:rFonts w:ascii="仿宋" w:eastAsia="仿宋" w:hAnsi="仿宋" w:hint="eastAsia"/>
          <w:bCs/>
          <w:spacing w:val="-4"/>
          <w:sz w:val="32"/>
          <w:szCs w:val="32"/>
        </w:rPr>
        <w:t>。项目资金主要用于支付庭院经济补助，主要用于一般户和贫困户建设庭院经济的</w:t>
      </w:r>
      <w:r>
        <w:rPr>
          <w:rFonts w:ascii="仿宋" w:eastAsia="仿宋" w:hAnsi="仿宋" w:hint="eastAsia"/>
          <w:bCs/>
          <w:spacing w:val="-4"/>
          <w:sz w:val="32"/>
          <w:szCs w:val="32"/>
        </w:rPr>
        <w:t>补贴，总计补贴</w:t>
      </w:r>
      <w:r>
        <w:rPr>
          <w:rFonts w:ascii="仿宋" w:eastAsia="仿宋" w:hAnsi="仿宋" w:hint="eastAsia"/>
          <w:bCs/>
          <w:spacing w:val="-4"/>
          <w:sz w:val="32"/>
          <w:szCs w:val="32"/>
        </w:rPr>
        <w:t>28</w:t>
      </w:r>
      <w:r>
        <w:rPr>
          <w:rFonts w:ascii="仿宋" w:eastAsia="仿宋" w:hAnsi="仿宋" w:hint="eastAsia"/>
          <w:bCs/>
          <w:spacing w:val="-4"/>
          <w:sz w:val="32"/>
          <w:szCs w:val="32"/>
        </w:rPr>
        <w:t>户。</w:t>
      </w:r>
    </w:p>
    <w:p w:rsidR="00BE2A6B" w:rsidRDefault="009023B1">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（三）项目资金管理情况分析</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为确保该项目专项资金合理有效使用，我乡严格按财政局要求制定并完善相关报账手续。本项目支出符合财务管理制度，包括乡财支付中心工作管理制度、财务收支审批制度、财务稽核制度、财务牵制制度、会计主管岗位职责等制度规定，资金的拨付有完整的审批程序和手续，不存在截留、挤占、挪用等情况。</w:t>
      </w:r>
    </w:p>
    <w:p w:rsidR="00BE2A6B" w:rsidRDefault="009023B1">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三、项目组织实施情况</w:t>
      </w:r>
    </w:p>
    <w:p w:rsidR="00BE2A6B" w:rsidRDefault="009023B1">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（一）项目组织情况分析</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一是该项目由县扶贫中心组织实施。实施过程均按照资金主管局制定的管理制度执行；</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二是本项目不存在调整情况；</w:t>
      </w:r>
    </w:p>
    <w:p w:rsidR="00BE2A6B" w:rsidRDefault="009023B1">
      <w:pPr>
        <w:adjustRightInd w:val="0"/>
        <w:snapToGrid w:val="0"/>
        <w:spacing w:line="560" w:lineRule="exact"/>
        <w:ind w:firstLineChars="200" w:firstLine="624"/>
        <w:rPr>
          <w:rStyle w:val="aa"/>
          <w:rFonts w:ascii="仿宋" w:eastAsia="仿宋" w:hAnsi="仿宋"/>
          <w:b w:val="0"/>
          <w:spacing w:val="-4"/>
          <w:sz w:val="32"/>
          <w:szCs w:val="32"/>
        </w:rPr>
      </w:pPr>
      <w:r>
        <w:rPr>
          <w:rFonts w:ascii="仿宋" w:eastAsia="仿宋" w:hAnsi="仿宋" w:hint="eastAsia"/>
          <w:bCs/>
          <w:spacing w:val="-4"/>
          <w:sz w:val="32"/>
          <w:szCs w:val="32"/>
        </w:rPr>
        <w:t>三是本项目先由各村党支部自行组织人员进行查验，再有乡扶贫办组织人员进行复验，对不合格者责令限期整改。直到复验达标。检查验收程序履行完后，按照实际验收情况给予庭</w:t>
      </w:r>
      <w:r>
        <w:rPr>
          <w:rFonts w:ascii="仿宋" w:eastAsia="仿宋" w:hAnsi="仿宋" w:hint="eastAsia"/>
          <w:bCs/>
          <w:spacing w:val="-4"/>
          <w:sz w:val="32"/>
          <w:szCs w:val="32"/>
        </w:rPr>
        <w:lastRenderedPageBreak/>
        <w:t>院补贴，资金发放标准严格按照资金主管局的要求进行补贴。</w:t>
      </w:r>
    </w:p>
    <w:p w:rsidR="00BE2A6B" w:rsidRDefault="009023B1">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（二）项目管理情况分析</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为确保该项目专项资金合理有效使用，我乡严格按财政局要求制定并完善相关报账手续。本项目支出符合财务管理制度，包括乡财支付中心工作管理制度、财务收支审批制度、财务稽核制度、财务牵制制度、会计主管岗位职责等制度规定，资金的拨付有完整的审批程序和手续，不存在截留、挤占、挪用等情况。</w:t>
      </w:r>
    </w:p>
    <w:p w:rsidR="00BE2A6B" w:rsidRDefault="009023B1">
      <w:pPr>
        <w:adjustRightInd w:val="0"/>
        <w:snapToGrid w:val="0"/>
        <w:spacing w:line="560" w:lineRule="exact"/>
        <w:ind w:firstLineChars="200" w:firstLine="624"/>
        <w:outlineLvl w:val="0"/>
        <w:rPr>
          <w:rStyle w:val="aa"/>
          <w:rFonts w:ascii="黑体" w:eastAsia="黑体" w:hAnsi="黑体"/>
        </w:rPr>
      </w:pPr>
      <w:r>
        <w:rPr>
          <w:rStyle w:val="aa"/>
          <w:rFonts w:ascii="黑体" w:eastAsia="黑体" w:hAnsi="黑体" w:hint="eastAsia"/>
          <w:b w:val="0"/>
          <w:spacing w:val="-4"/>
          <w:sz w:val="32"/>
          <w:szCs w:val="32"/>
        </w:rPr>
        <w:t>四、项目绩效情况</w:t>
      </w:r>
    </w:p>
    <w:p w:rsidR="00BE2A6B" w:rsidRDefault="009023B1">
      <w:pPr>
        <w:adjustRightInd w:val="0"/>
        <w:snapToGrid w:val="0"/>
        <w:spacing w:line="560" w:lineRule="exact"/>
        <w:ind w:firstLineChars="200" w:firstLine="627"/>
        <w:outlineLvl w:val="0"/>
        <w:rPr>
          <w:rStyle w:val="aa"/>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2</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5</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7</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7</w:t>
      </w:r>
      <w:r>
        <w:rPr>
          <w:rFonts w:ascii="仿宋" w:eastAsia="仿宋" w:hAnsi="仿宋"/>
          <w:bCs/>
          <w:spacing w:val="-4"/>
          <w:sz w:val="32"/>
          <w:szCs w:val="32"/>
        </w:rPr>
        <w:t>个</w:t>
      </w:r>
      <w:r>
        <w:rPr>
          <w:rFonts w:ascii="仿宋" w:eastAsia="仿宋" w:hAnsi="仿宋" w:hint="eastAsia"/>
          <w:bCs/>
          <w:spacing w:val="-4"/>
          <w:sz w:val="32"/>
          <w:szCs w:val="32"/>
        </w:rPr>
        <w:t>，指标完成率为</w:t>
      </w:r>
      <w:r>
        <w:rPr>
          <w:rFonts w:ascii="仿宋" w:eastAsia="仿宋" w:hAnsi="仿宋" w:hint="eastAsia"/>
          <w:bCs/>
          <w:spacing w:val="-4"/>
          <w:sz w:val="32"/>
          <w:szCs w:val="32"/>
        </w:rPr>
        <w:t>100%</w:t>
      </w:r>
      <w:r>
        <w:rPr>
          <w:rFonts w:ascii="仿宋" w:eastAsia="仿宋" w:hAnsi="仿宋" w:hint="eastAsia"/>
          <w:bCs/>
          <w:spacing w:val="-4"/>
          <w:sz w:val="32"/>
          <w:szCs w:val="32"/>
        </w:rPr>
        <w:t>。</w:t>
      </w:r>
    </w:p>
    <w:p w:rsidR="00BE2A6B" w:rsidRDefault="009023B1">
      <w:pPr>
        <w:pStyle w:val="a8"/>
        <w:shd w:val="clear" w:color="auto" w:fill="FFFFFF" w:themeFill="background1"/>
        <w:spacing w:before="0" w:beforeAutospacing="0" w:after="0" w:afterAutospacing="0"/>
        <w:rPr>
          <w:rFonts w:ascii="仿宋" w:eastAsia="仿宋" w:hAnsi="仿宋" w:cs="Times New Roman"/>
          <w:bCs/>
          <w:spacing w:val="-4"/>
          <w:kern w:val="2"/>
          <w:sz w:val="32"/>
          <w:szCs w:val="32"/>
          <w:lang w:bidi="ar-SA"/>
        </w:rPr>
      </w:pPr>
      <w:r>
        <w:rPr>
          <w:rFonts w:ascii="仿宋" w:eastAsia="仿宋" w:hAnsi="仿宋" w:cs="Times New Roman" w:hint="eastAsia"/>
          <w:bCs/>
          <w:spacing w:val="-4"/>
          <w:kern w:val="2"/>
          <w:sz w:val="32"/>
          <w:szCs w:val="32"/>
          <w:lang w:bidi="ar-SA"/>
        </w:rPr>
        <w:t>经济性：庭院经济主要是利用农村闲散劳动力从事生产，产品一般为经济价值较高的农副产品，虽然产量较小，但是由于消耗成本低，综合经济效益相当可观。</w:t>
      </w:r>
    </w:p>
    <w:p w:rsidR="00BE2A6B" w:rsidRDefault="009023B1">
      <w:pPr>
        <w:pStyle w:val="a8"/>
        <w:shd w:val="clear" w:color="auto" w:fill="FFFFFF" w:themeFill="background1"/>
        <w:spacing w:before="0" w:beforeAutospacing="0" w:after="0" w:afterAutospacing="0"/>
        <w:rPr>
          <w:rFonts w:ascii="仿宋" w:eastAsia="仿宋" w:hAnsi="仿宋" w:cs="Times New Roman"/>
          <w:bCs/>
          <w:spacing w:val="-4"/>
          <w:kern w:val="2"/>
          <w:sz w:val="32"/>
          <w:szCs w:val="32"/>
          <w:lang w:bidi="ar-SA"/>
        </w:rPr>
      </w:pPr>
      <w:r>
        <w:rPr>
          <w:rFonts w:ascii="仿宋" w:eastAsia="仿宋" w:hAnsi="仿宋" w:cs="Times New Roman" w:hint="eastAsia"/>
          <w:bCs/>
          <w:spacing w:val="-4"/>
          <w:kern w:val="2"/>
          <w:sz w:val="32"/>
          <w:szCs w:val="32"/>
          <w:lang w:bidi="ar-SA"/>
        </w:rPr>
        <w:t>生态性：庭院经济的主要活动场所设置在农户庭院之类，与农户日常生活息息相关，为此，整个经济模式相对较为干净、较为环保，属于环境友好型的一种农业经济模式。</w:t>
      </w:r>
    </w:p>
    <w:p w:rsidR="00BE2A6B" w:rsidRDefault="009023B1">
      <w:pPr>
        <w:pStyle w:val="a8"/>
        <w:shd w:val="clear" w:color="auto" w:fill="FFFFFF" w:themeFill="background1"/>
        <w:spacing w:before="0" w:beforeAutospacing="0" w:after="0" w:afterAutospacing="0"/>
        <w:rPr>
          <w:rFonts w:ascii="仿宋" w:eastAsia="仿宋" w:hAnsi="仿宋" w:cs="Times New Roman"/>
          <w:bCs/>
          <w:spacing w:val="-4"/>
          <w:kern w:val="2"/>
          <w:sz w:val="32"/>
          <w:szCs w:val="32"/>
          <w:lang w:bidi="ar-SA"/>
        </w:rPr>
      </w:pPr>
      <w:r>
        <w:rPr>
          <w:rFonts w:ascii="仿宋" w:eastAsia="仿宋" w:hAnsi="仿宋" w:cs="Times New Roman" w:hint="eastAsia"/>
          <w:bCs/>
          <w:spacing w:val="-4"/>
          <w:kern w:val="2"/>
          <w:sz w:val="32"/>
          <w:szCs w:val="32"/>
          <w:lang w:bidi="ar-SA"/>
        </w:rPr>
        <w:t>抗风险性：庭院经济在初期投入、生产面积等诸多方面都规模有限，且产品多样化，种类丰富，为此，在应对市场风险上有较强的抗风险性。能够更好的适应市场规律，减少风险，稳</w:t>
      </w:r>
      <w:r>
        <w:rPr>
          <w:rFonts w:ascii="仿宋" w:eastAsia="仿宋" w:hAnsi="仿宋" w:cs="Times New Roman" w:hint="eastAsia"/>
          <w:bCs/>
          <w:spacing w:val="-4"/>
          <w:kern w:val="2"/>
          <w:sz w:val="32"/>
          <w:szCs w:val="32"/>
          <w:lang w:bidi="ar-SA"/>
        </w:rPr>
        <w:t>固</w:t>
      </w:r>
      <w:bookmarkStart w:id="1" w:name="_GoBack"/>
      <w:bookmarkEnd w:id="1"/>
      <w:r>
        <w:rPr>
          <w:rFonts w:ascii="仿宋" w:eastAsia="仿宋" w:hAnsi="仿宋" w:cs="Times New Roman" w:hint="eastAsia"/>
          <w:bCs/>
          <w:spacing w:val="-4"/>
          <w:kern w:val="2"/>
          <w:sz w:val="32"/>
          <w:szCs w:val="32"/>
          <w:lang w:bidi="ar-SA"/>
        </w:rPr>
        <w:t>收入。</w:t>
      </w:r>
    </w:p>
    <w:p w:rsidR="00BE2A6B" w:rsidRDefault="009023B1">
      <w:pPr>
        <w:pStyle w:val="a8"/>
        <w:shd w:val="clear" w:color="auto" w:fill="FFFFFF" w:themeFill="background1"/>
        <w:spacing w:before="0" w:beforeAutospacing="0" w:after="0" w:afterAutospacing="0"/>
        <w:rPr>
          <w:rFonts w:ascii="仿宋" w:eastAsia="仿宋" w:hAnsi="仿宋" w:cs="Times New Roman"/>
          <w:bCs/>
          <w:spacing w:val="-4"/>
          <w:kern w:val="2"/>
          <w:sz w:val="32"/>
          <w:szCs w:val="32"/>
          <w:lang w:bidi="ar-SA"/>
        </w:rPr>
      </w:pPr>
      <w:r>
        <w:rPr>
          <w:rFonts w:ascii="仿宋" w:eastAsia="仿宋" w:hAnsi="仿宋" w:cs="Times New Roman" w:hint="eastAsia"/>
          <w:bCs/>
          <w:spacing w:val="-4"/>
          <w:kern w:val="2"/>
          <w:sz w:val="32"/>
          <w:szCs w:val="32"/>
          <w:lang w:bidi="ar-SA"/>
        </w:rPr>
        <w:lastRenderedPageBreak/>
        <w:t>适应性：庭院经济模式最为基本的要素是基本的投入、基本的劳动力、基本的庭院空间，以上三要素，在大多数农村家庭都是具备的，并且，种、养的具体项目，可以根据各地实际情况进行灵活调整，从这个意义上来看，庭院经济具有较强的环境适应性。</w:t>
      </w:r>
    </w:p>
    <w:p w:rsidR="00BE2A6B" w:rsidRDefault="009023B1">
      <w:pPr>
        <w:pStyle w:val="a8"/>
        <w:shd w:val="clear" w:color="auto" w:fill="FFFFFF" w:themeFill="background1"/>
        <w:spacing w:before="0" w:beforeAutospacing="0" w:after="0" w:afterAutospacing="0"/>
        <w:rPr>
          <w:rFonts w:ascii="仿宋" w:eastAsia="仿宋" w:hAnsi="仿宋" w:cs="Times New Roman"/>
          <w:bCs/>
          <w:spacing w:val="-4"/>
          <w:kern w:val="2"/>
          <w:sz w:val="32"/>
          <w:szCs w:val="32"/>
          <w:lang w:bidi="ar-SA"/>
        </w:rPr>
      </w:pPr>
      <w:r>
        <w:rPr>
          <w:rFonts w:ascii="仿宋" w:eastAsia="仿宋" w:hAnsi="仿宋" w:cs="Times New Roman" w:hint="eastAsia"/>
          <w:bCs/>
          <w:spacing w:val="-4"/>
          <w:kern w:val="2"/>
          <w:sz w:val="32"/>
          <w:szCs w:val="32"/>
          <w:lang w:bidi="ar-SA"/>
        </w:rPr>
        <w:t>效率性：主要通过对比分析项目的实施进度和完成质量。</w:t>
      </w:r>
    </w:p>
    <w:p w:rsidR="00BE2A6B" w:rsidRDefault="009023B1">
      <w:pPr>
        <w:shd w:val="clear" w:color="auto" w:fill="FFFFFF" w:themeFill="background1"/>
        <w:adjustRightInd w:val="0"/>
        <w:snapToGrid w:val="0"/>
        <w:spacing w:line="560" w:lineRule="exact"/>
        <w:rPr>
          <w:rFonts w:ascii="仿宋" w:eastAsia="仿宋" w:hAnsi="仿宋"/>
          <w:bCs/>
          <w:spacing w:val="-4"/>
          <w:sz w:val="32"/>
          <w:szCs w:val="32"/>
        </w:rPr>
      </w:pPr>
      <w:r>
        <w:rPr>
          <w:rFonts w:ascii="仿宋" w:eastAsia="仿宋" w:hAnsi="仿宋" w:hint="eastAsia"/>
          <w:bCs/>
          <w:spacing w:val="-4"/>
          <w:sz w:val="32"/>
          <w:szCs w:val="32"/>
        </w:rPr>
        <w:t>效益性：主要分析项目实施后对于经济和社会的影响。</w:t>
      </w:r>
    </w:p>
    <w:p w:rsidR="00BE2A6B" w:rsidRDefault="009023B1">
      <w:pPr>
        <w:adjustRightInd w:val="0"/>
        <w:snapToGrid w:val="0"/>
        <w:spacing w:line="560" w:lineRule="exact"/>
        <w:rPr>
          <w:rFonts w:ascii="仿宋" w:eastAsia="仿宋" w:hAnsi="仿宋"/>
          <w:bCs/>
          <w:spacing w:val="-4"/>
          <w:sz w:val="32"/>
          <w:szCs w:val="32"/>
        </w:rPr>
      </w:pPr>
      <w:r>
        <w:rPr>
          <w:rFonts w:ascii="仿宋" w:eastAsia="仿宋" w:hAnsi="仿宋" w:hint="eastAsia"/>
          <w:bCs/>
          <w:spacing w:val="-4"/>
          <w:sz w:val="32"/>
          <w:szCs w:val="32"/>
        </w:rPr>
        <w:t>满意度：该项目</w:t>
      </w:r>
      <w:r>
        <w:rPr>
          <w:rFonts w:ascii="仿宋" w:eastAsia="仿宋" w:hAnsi="仿宋" w:hint="eastAsia"/>
          <w:bCs/>
          <w:spacing w:val="-4"/>
          <w:sz w:val="32"/>
          <w:szCs w:val="32"/>
        </w:rPr>
        <w:t>特性为成本低、管理方式便捷，符合农户起点低、效益好的项目，群众乐意接受。</w:t>
      </w:r>
    </w:p>
    <w:p w:rsidR="00BE2A6B" w:rsidRDefault="009023B1">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（二）项目绩效目标未完成原因分析</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不存在未完成情况，</w:t>
      </w:r>
      <w:r>
        <w:rPr>
          <w:rFonts w:ascii="仿宋" w:eastAsia="仿宋" w:hAnsi="仿宋" w:hint="eastAsia"/>
          <w:bCs/>
          <w:spacing w:val="-4"/>
          <w:sz w:val="32"/>
          <w:szCs w:val="32"/>
        </w:rPr>
        <w:t>2018</w:t>
      </w:r>
      <w:r>
        <w:rPr>
          <w:rFonts w:ascii="仿宋" w:eastAsia="仿宋" w:hAnsi="仿宋" w:hint="eastAsia"/>
          <w:bCs/>
          <w:spacing w:val="-4"/>
          <w:sz w:val="32"/>
          <w:szCs w:val="32"/>
        </w:rPr>
        <w:t>年本项目绩效目标全部达成，不存在未完成原因分析。</w:t>
      </w:r>
    </w:p>
    <w:p w:rsidR="00BE2A6B" w:rsidRDefault="009023B1">
      <w:pPr>
        <w:adjustRightInd w:val="0"/>
        <w:snapToGrid w:val="0"/>
        <w:spacing w:line="560" w:lineRule="exact"/>
        <w:ind w:firstLineChars="200" w:firstLine="640"/>
        <w:outlineLvl w:val="0"/>
        <w:rPr>
          <w:rFonts w:ascii="仿宋" w:eastAsia="仿宋" w:hAnsi="仿宋"/>
          <w:sz w:val="32"/>
          <w:szCs w:val="32"/>
        </w:rPr>
      </w:pPr>
      <w:r>
        <w:rPr>
          <w:rFonts w:ascii="仿宋" w:eastAsia="仿宋" w:hAnsi="仿宋" w:hint="eastAsia"/>
          <w:sz w:val="32"/>
          <w:szCs w:val="32"/>
        </w:rPr>
        <w:t>五、其他需要说明的问题</w:t>
      </w:r>
    </w:p>
    <w:p w:rsidR="00BE2A6B" w:rsidRDefault="009023B1">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（一）后续工作计划</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该项目适合贫困地区农户发展起步容易，推广简单的项目。，根据实际情况，可对新增农户家庭进行建设投产。</w:t>
      </w:r>
    </w:p>
    <w:p w:rsidR="00BE2A6B" w:rsidRDefault="009023B1">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（二）主要经验及做法、存在问题和建议</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w:t>
      </w:r>
      <w:r>
        <w:rPr>
          <w:rFonts w:ascii="仿宋" w:eastAsia="仿宋" w:hAnsi="仿宋" w:hint="eastAsia"/>
          <w:bCs/>
          <w:spacing w:val="-4"/>
          <w:sz w:val="32"/>
          <w:szCs w:val="32"/>
        </w:rPr>
        <w:t>、主要经验及做法</w:t>
      </w:r>
    </w:p>
    <w:p w:rsidR="00BE2A6B" w:rsidRDefault="009023B1">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bCs/>
          <w:spacing w:val="-4"/>
          <w:sz w:val="32"/>
          <w:szCs w:val="32"/>
        </w:rPr>
        <w:t>为保证财务管理工作规范有序进行，</w:t>
      </w:r>
      <w:r>
        <w:rPr>
          <w:rFonts w:ascii="仿宋" w:eastAsia="仿宋" w:hAnsi="仿宋" w:hint="eastAsia"/>
          <w:bCs/>
          <w:spacing w:val="-4"/>
          <w:sz w:val="32"/>
          <w:szCs w:val="32"/>
        </w:rPr>
        <w:t>2018</w:t>
      </w:r>
      <w:r>
        <w:rPr>
          <w:rFonts w:ascii="仿宋" w:eastAsia="仿宋" w:hAnsi="仿宋" w:hint="eastAsia"/>
          <w:bCs/>
          <w:spacing w:val="-4"/>
          <w:sz w:val="32"/>
          <w:szCs w:val="32"/>
        </w:rPr>
        <w:t>年我们按照英吉沙县财政局要求修改完善了相关财务管理的制度、规定，成立了财务监督小组，加强内部控制和监督。对各项资金的管理、经费收支审批等均作了明确规定，正确组织资金的筹集、调度和使用。对所有</w:t>
      </w:r>
      <w:r>
        <w:rPr>
          <w:rFonts w:ascii="仿宋" w:eastAsia="仿宋" w:hAnsi="仿宋" w:hint="eastAsia"/>
          <w:spacing w:val="-4"/>
          <w:sz w:val="32"/>
          <w:szCs w:val="32"/>
        </w:rPr>
        <w:t>大额支出专题报告需经会议研究通过。</w:t>
      </w:r>
      <w:r>
        <w:rPr>
          <w:rFonts w:ascii="宋体" w:hAnsi="宋体" w:cs="宋体" w:hint="eastAsia"/>
          <w:spacing w:val="-4"/>
          <w:sz w:val="32"/>
          <w:szCs w:val="32"/>
        </w:rPr>
        <w:t> </w:t>
      </w:r>
      <w:r>
        <w:rPr>
          <w:rFonts w:ascii="仿宋" w:eastAsia="仿宋" w:hAnsi="仿宋" w:hint="eastAsia"/>
          <w:spacing w:val="-4"/>
          <w:sz w:val="32"/>
          <w:szCs w:val="32"/>
        </w:rPr>
        <w:t>强化制度执行。切实做好厉行节约工作，全面落实各项管理制度要</w:t>
      </w:r>
      <w:r>
        <w:rPr>
          <w:rFonts w:ascii="仿宋" w:eastAsia="仿宋" w:hAnsi="仿宋" w:hint="eastAsia"/>
          <w:spacing w:val="-4"/>
          <w:sz w:val="32"/>
          <w:szCs w:val="32"/>
        </w:rPr>
        <w:lastRenderedPageBreak/>
        <w:t>求，努力降低行政成本。严格公务接待费、差旅费、会议费和培训费审核审批程序，加强对公务用车的管理，实行限额把关、一支笔审批制度，做到一事一审批、一事一结账，各项费用严格履行审批程序。</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w:t>
      </w:r>
      <w:r>
        <w:rPr>
          <w:rFonts w:ascii="仿宋" w:eastAsia="仿宋" w:hAnsi="仿宋" w:hint="eastAsia"/>
          <w:bCs/>
          <w:spacing w:val="-4"/>
          <w:sz w:val="32"/>
          <w:szCs w:val="32"/>
        </w:rPr>
        <w:t>、存</w:t>
      </w:r>
      <w:r>
        <w:rPr>
          <w:rFonts w:ascii="仿宋" w:eastAsia="仿宋" w:hAnsi="仿宋" w:hint="eastAsia"/>
          <w:bCs/>
          <w:spacing w:val="-4"/>
          <w:sz w:val="32"/>
          <w:szCs w:val="32"/>
        </w:rPr>
        <w:t>在的问题</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无</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3</w:t>
      </w:r>
      <w:r>
        <w:rPr>
          <w:rFonts w:ascii="仿宋" w:eastAsia="仿宋" w:hAnsi="仿宋" w:hint="eastAsia"/>
          <w:bCs/>
          <w:spacing w:val="-4"/>
          <w:sz w:val="32"/>
          <w:szCs w:val="32"/>
        </w:rPr>
        <w:t>、建议</w:t>
      </w:r>
    </w:p>
    <w:p w:rsidR="00BE2A6B" w:rsidRDefault="009023B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无</w:t>
      </w:r>
    </w:p>
    <w:p w:rsidR="00BE2A6B" w:rsidRDefault="009023B1">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BE2A6B" w:rsidRDefault="009023B1">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BE2A6B" w:rsidRDefault="009023B1">
      <w:pPr>
        <w:adjustRightInd w:val="0"/>
        <w:snapToGrid w:val="0"/>
        <w:spacing w:line="560" w:lineRule="exact"/>
        <w:ind w:firstLineChars="200" w:firstLine="624"/>
        <w:outlineLvl w:val="0"/>
        <w:rPr>
          <w:rFonts w:ascii="黑体" w:eastAsia="黑体" w:hAnsi="黑体"/>
          <w:bCs/>
          <w:spacing w:val="-4"/>
          <w:sz w:val="32"/>
          <w:szCs w:val="32"/>
        </w:rPr>
      </w:pPr>
      <w:r>
        <w:rPr>
          <w:rStyle w:val="aa"/>
          <w:rFonts w:ascii="黑体" w:eastAsia="黑体" w:hAnsi="黑体" w:hint="eastAsia"/>
          <w:b w:val="0"/>
          <w:spacing w:val="-4"/>
          <w:sz w:val="32"/>
          <w:szCs w:val="32"/>
        </w:rPr>
        <w:t>六、项目评价工作情况</w:t>
      </w:r>
    </w:p>
    <w:p w:rsidR="00BE2A6B" w:rsidRDefault="009023B1">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城关乡切实加强财务管理，强化财务监督，增强法纪观念，遵守规章制度。为保证财务管理工作规范有序进行，</w:t>
      </w:r>
      <w:r>
        <w:rPr>
          <w:rFonts w:ascii="仿宋" w:eastAsia="仿宋" w:hAnsi="仿宋" w:hint="eastAsia"/>
          <w:spacing w:val="-4"/>
          <w:sz w:val="32"/>
          <w:szCs w:val="32"/>
        </w:rPr>
        <w:t>2018</w:t>
      </w:r>
      <w:r>
        <w:rPr>
          <w:rFonts w:ascii="仿宋" w:eastAsia="仿宋" w:hAnsi="仿宋" w:hint="eastAsia"/>
          <w:spacing w:val="-4"/>
          <w:sz w:val="32"/>
          <w:szCs w:val="32"/>
        </w:rPr>
        <w:t>年我们修改完善了相关财务管理的制度、规定，成立了财务监督小组，加强内部控制和监督。对各项资金的管理、经费收支审批等均作了明确规定，正确组织资金的筹集、调度和使用。各项经费支出实行限额把关、一支笔审批制度。切实做好厉行节约工作，全面落实各项管理制度要求，努力降低行政成本。</w:t>
      </w:r>
    </w:p>
    <w:p w:rsidR="00BE2A6B" w:rsidRDefault="009023B1">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七、附表</w:t>
      </w:r>
    </w:p>
    <w:p w:rsidR="00BE2A6B" w:rsidRDefault="009023B1">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《项目支出绩效目标自评表》</w:t>
      </w:r>
    </w:p>
    <w:p w:rsidR="00BE2A6B" w:rsidRDefault="009023B1">
      <w:pPr>
        <w:adjustRightInd w:val="0"/>
        <w:snapToGrid w:val="0"/>
        <w:spacing w:line="560" w:lineRule="exact"/>
        <w:ind w:firstLineChars="200" w:firstLine="627"/>
        <w:rPr>
          <w:rStyle w:val="aa"/>
          <w:rFonts w:ascii="仿宋" w:eastAsia="仿宋" w:hAnsi="仿宋"/>
          <w:spacing w:val="-4"/>
          <w:sz w:val="32"/>
          <w:szCs w:val="32"/>
        </w:rPr>
        <w:sectPr w:rsidR="00BE2A6B">
          <w:footerReference w:type="default" r:id="rId8"/>
          <w:pgSz w:w="11906" w:h="16838"/>
          <w:pgMar w:top="1440" w:right="1800" w:bottom="1440" w:left="1800" w:header="851" w:footer="992" w:gutter="0"/>
          <w:cols w:space="425"/>
          <w:docGrid w:type="lines" w:linePitch="312"/>
        </w:sectPr>
      </w:pPr>
      <w:r>
        <w:rPr>
          <w:rStyle w:val="aa"/>
          <w:rFonts w:ascii="仿宋" w:eastAsia="仿宋" w:hAnsi="仿宋" w:hint="eastAsia"/>
          <w:spacing w:val="-4"/>
          <w:sz w:val="32"/>
          <w:szCs w:val="32"/>
        </w:rPr>
        <w:t>上述黑色标题不得删减，可根据项目实际情况修改红色部分。</w:t>
      </w:r>
    </w:p>
    <w:p w:rsidR="00BE2A6B" w:rsidRDefault="009023B1">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附表填制说明（</w:t>
      </w:r>
      <w:r>
        <w:rPr>
          <w:rFonts w:ascii="仿宋" w:eastAsia="仿宋" w:hAnsi="仿宋" w:hint="eastAsia"/>
          <w:sz w:val="32"/>
          <w:szCs w:val="32"/>
        </w:rPr>
        <w:t>2018</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18</w:t>
      </w:r>
      <w:r>
        <w:rPr>
          <w:rFonts w:ascii="仿宋" w:eastAsia="仿宋" w:hAnsi="仿宋" w:hint="eastAsia"/>
          <w:sz w:val="32"/>
          <w:szCs w:val="32"/>
        </w:rPr>
        <w:t>日）</w:t>
      </w:r>
    </w:p>
    <w:p w:rsidR="00BE2A6B" w:rsidRDefault="009023B1">
      <w:pPr>
        <w:adjustRightInd w:val="0"/>
        <w:snapToGrid w:val="0"/>
        <w:spacing w:line="560" w:lineRule="exact"/>
        <w:ind w:firstLineChars="200" w:firstLine="640"/>
        <w:rPr>
          <w:bCs/>
          <w:sz w:val="32"/>
          <w:szCs w:val="32"/>
        </w:rPr>
      </w:pPr>
      <w:r>
        <w:rPr>
          <w:rFonts w:hint="eastAsia"/>
          <w:bCs/>
          <w:sz w:val="32"/>
          <w:szCs w:val="32"/>
        </w:rPr>
        <w:t>1.</w:t>
      </w:r>
      <w:r>
        <w:rPr>
          <w:rFonts w:hint="eastAsia"/>
          <w:bCs/>
          <w:sz w:val="32"/>
          <w:szCs w:val="32"/>
        </w:rPr>
        <w:t>项目名称填制要求必须带有“项目”字样，《新疆财政支出绩效自评报告》《部门预算项目支出绩效目标申报表》《项目支出绩效目标自评表》的项目名称须保持完全一致。</w:t>
      </w:r>
    </w:p>
    <w:p w:rsidR="00BE2A6B" w:rsidRDefault="009023B1">
      <w:pPr>
        <w:adjustRightInd w:val="0"/>
        <w:snapToGrid w:val="0"/>
        <w:spacing w:line="560" w:lineRule="exact"/>
        <w:ind w:firstLineChars="200" w:firstLine="640"/>
        <w:rPr>
          <w:bCs/>
          <w:sz w:val="32"/>
          <w:szCs w:val="32"/>
        </w:rPr>
      </w:pPr>
      <w:r>
        <w:rPr>
          <w:rFonts w:hint="eastAsia"/>
          <w:bCs/>
          <w:sz w:val="32"/>
          <w:szCs w:val="32"/>
        </w:rPr>
        <w:t>2.</w:t>
      </w:r>
      <w:r>
        <w:rPr>
          <w:rFonts w:hint="eastAsia"/>
          <w:bCs/>
          <w:sz w:val="32"/>
          <w:szCs w:val="32"/>
        </w:rPr>
        <w:t>根据《部门预算项目支出绩效目标申报表》和《项目支出绩效目标自评表》中的字体要求填写（宋体</w:t>
      </w:r>
      <w:r>
        <w:rPr>
          <w:rFonts w:hint="eastAsia"/>
          <w:bCs/>
          <w:sz w:val="32"/>
          <w:szCs w:val="32"/>
        </w:rPr>
        <w:t>12</w:t>
      </w:r>
      <w:r>
        <w:rPr>
          <w:rFonts w:hint="eastAsia"/>
          <w:bCs/>
          <w:sz w:val="32"/>
          <w:szCs w:val="32"/>
        </w:rPr>
        <w:t>号字），不得随意调整。</w:t>
      </w:r>
    </w:p>
    <w:p w:rsidR="00BE2A6B" w:rsidRDefault="009023B1">
      <w:pPr>
        <w:adjustRightInd w:val="0"/>
        <w:snapToGrid w:val="0"/>
        <w:spacing w:line="560" w:lineRule="exact"/>
        <w:ind w:firstLineChars="200" w:firstLine="640"/>
        <w:rPr>
          <w:bCs/>
          <w:sz w:val="32"/>
          <w:szCs w:val="32"/>
        </w:rPr>
      </w:pPr>
      <w:r>
        <w:rPr>
          <w:rFonts w:hint="eastAsia"/>
          <w:bCs/>
          <w:sz w:val="32"/>
          <w:szCs w:val="32"/>
        </w:rPr>
        <w:t>3.</w:t>
      </w:r>
      <w:r>
        <w:rPr>
          <w:rFonts w:hint="eastAsia"/>
          <w:bCs/>
          <w:sz w:val="32"/>
          <w:szCs w:val="32"/>
        </w:rPr>
        <w:t>要求打印出的表格不能存在遮盖的文字，表格填制完毕后通过打印预览查看是否存在文字遮盖的情况，如存在需调整表格行高，保证文字全部显现。</w:t>
      </w:r>
    </w:p>
    <w:p w:rsidR="00BE2A6B" w:rsidRDefault="009023B1">
      <w:pPr>
        <w:adjustRightInd w:val="0"/>
        <w:snapToGrid w:val="0"/>
        <w:spacing w:line="560" w:lineRule="exact"/>
        <w:ind w:firstLineChars="200" w:firstLine="640"/>
        <w:rPr>
          <w:bCs/>
          <w:sz w:val="32"/>
          <w:szCs w:val="32"/>
        </w:rPr>
      </w:pPr>
      <w:r>
        <w:rPr>
          <w:rFonts w:hint="eastAsia"/>
          <w:bCs/>
          <w:sz w:val="32"/>
          <w:szCs w:val="32"/>
        </w:rPr>
        <w:t>4.</w:t>
      </w:r>
      <w:r>
        <w:rPr>
          <w:rFonts w:hint="eastAsia"/>
          <w:bCs/>
          <w:sz w:val="32"/>
          <w:szCs w:val="32"/>
        </w:rPr>
        <w:t>要求填制表格中具体指标的数值全部居中，表格其他内容按格式填写，不得自行调整。</w:t>
      </w:r>
    </w:p>
    <w:p w:rsidR="00BE2A6B" w:rsidRDefault="009023B1">
      <w:pPr>
        <w:adjustRightInd w:val="0"/>
        <w:snapToGrid w:val="0"/>
        <w:spacing w:line="560" w:lineRule="exact"/>
        <w:ind w:firstLineChars="200" w:firstLine="640"/>
        <w:rPr>
          <w:bCs/>
          <w:sz w:val="32"/>
          <w:szCs w:val="32"/>
        </w:rPr>
      </w:pPr>
      <w:r>
        <w:rPr>
          <w:rFonts w:hint="eastAsia"/>
          <w:bCs/>
          <w:sz w:val="32"/>
          <w:szCs w:val="32"/>
        </w:rPr>
        <w:t>5.</w:t>
      </w:r>
      <w:r>
        <w:rPr>
          <w:rFonts w:hint="eastAsia"/>
          <w:bCs/>
          <w:sz w:val="32"/>
          <w:szCs w:val="32"/>
        </w:rPr>
        <w:t>三级指标名称全部左对齐。</w:t>
      </w:r>
    </w:p>
    <w:p w:rsidR="00BE2A6B" w:rsidRDefault="009023B1">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6.</w:t>
      </w:r>
      <w:r>
        <w:rPr>
          <w:rFonts w:hint="eastAsia"/>
          <w:bCs/>
          <w:sz w:val="32"/>
          <w:szCs w:val="32"/>
        </w:rPr>
        <w:t>《部门预算项目支出绩效目标申报表》和《项目支出绩效目标自评表》</w:t>
      </w:r>
      <w:r>
        <w:rPr>
          <w:rFonts w:ascii="仿宋" w:eastAsia="仿宋" w:hAnsi="仿宋" w:hint="eastAsia"/>
          <w:sz w:val="32"/>
          <w:szCs w:val="32"/>
        </w:rPr>
        <w:t>表格格式及内容必须严格按照附件填写，不可随意删除内容，包括表格下方的经办人、单</w:t>
      </w:r>
      <w:r>
        <w:rPr>
          <w:rFonts w:ascii="仿宋" w:eastAsia="仿宋" w:hAnsi="仿宋" w:hint="eastAsia"/>
          <w:sz w:val="32"/>
          <w:szCs w:val="32"/>
        </w:rPr>
        <w:t>位负责人、申报时间、联系电话等。</w:t>
      </w:r>
    </w:p>
    <w:p w:rsidR="00BE2A6B" w:rsidRDefault="009023B1">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7.</w:t>
      </w:r>
      <w:r>
        <w:rPr>
          <w:rFonts w:hint="eastAsia"/>
          <w:bCs/>
          <w:sz w:val="32"/>
          <w:szCs w:val="32"/>
        </w:rPr>
        <w:t xml:space="preserve"> </w:t>
      </w:r>
      <w:r>
        <w:rPr>
          <w:rFonts w:hint="eastAsia"/>
          <w:bCs/>
          <w:sz w:val="32"/>
          <w:szCs w:val="32"/>
        </w:rPr>
        <w:t>《部门预算项目支出绩效目标申报表》中的</w:t>
      </w:r>
      <w:r>
        <w:rPr>
          <w:rFonts w:ascii="仿宋" w:eastAsia="仿宋" w:hAnsi="仿宋" w:hint="eastAsia"/>
          <w:sz w:val="32"/>
          <w:szCs w:val="32"/>
        </w:rPr>
        <w:t>总体目标和《</w:t>
      </w:r>
      <w:r>
        <w:rPr>
          <w:rFonts w:hint="eastAsia"/>
          <w:bCs/>
          <w:sz w:val="32"/>
          <w:szCs w:val="32"/>
        </w:rPr>
        <w:t>项目支出绩效目标自评表》</w:t>
      </w:r>
      <w:r>
        <w:rPr>
          <w:rFonts w:ascii="仿宋" w:eastAsia="仿宋" w:hAnsi="仿宋" w:hint="eastAsia"/>
          <w:sz w:val="32"/>
          <w:szCs w:val="32"/>
        </w:rPr>
        <w:t>中的预期目标和实际完成目标必须分项罗列，且包含所有设置的三级指标。</w:t>
      </w:r>
    </w:p>
    <w:p w:rsidR="00BE2A6B" w:rsidRDefault="009023B1">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8.</w:t>
      </w:r>
      <w:r>
        <w:rPr>
          <w:rFonts w:ascii="仿宋" w:eastAsia="仿宋" w:hAnsi="仿宋" w:hint="eastAsia"/>
          <w:sz w:val="32"/>
          <w:szCs w:val="32"/>
        </w:rPr>
        <w:t>部门预算项目支出绩效目标表与项目支出绩效目标自评表中的指标内容和排列顺序必须完全一致。</w:t>
      </w:r>
    </w:p>
    <w:p w:rsidR="00BE2A6B" w:rsidRDefault="009023B1">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9.</w:t>
      </w:r>
      <w:r>
        <w:rPr>
          <w:rFonts w:ascii="仿宋" w:eastAsia="仿宋" w:hAnsi="仿宋" w:hint="eastAsia"/>
          <w:sz w:val="32"/>
          <w:szCs w:val="32"/>
        </w:rPr>
        <w:t>设置指标值和实际完成值时，不可填列区间数，例如：办理案件数量</w:t>
      </w:r>
      <w:r>
        <w:rPr>
          <w:rFonts w:ascii="仿宋" w:eastAsia="仿宋" w:hAnsi="仿宋" w:hint="eastAsia"/>
          <w:sz w:val="32"/>
          <w:szCs w:val="32"/>
        </w:rPr>
        <w:t>23-25</w:t>
      </w:r>
      <w:r>
        <w:rPr>
          <w:rFonts w:ascii="仿宋" w:eastAsia="仿宋" w:hAnsi="仿宋" w:hint="eastAsia"/>
          <w:sz w:val="32"/>
          <w:szCs w:val="32"/>
        </w:rPr>
        <w:t>件。符号必须准确表述：</w:t>
      </w:r>
      <w:r>
        <w:rPr>
          <w:rFonts w:ascii="仿宋" w:eastAsia="仿宋" w:hAnsi="仿宋" w:hint="eastAsia"/>
          <w:sz w:val="32"/>
          <w:szCs w:val="32"/>
        </w:rPr>
        <w:t>&gt;</w:t>
      </w:r>
      <w:r>
        <w:rPr>
          <w:rFonts w:ascii="仿宋" w:eastAsia="仿宋" w:hAnsi="仿宋" w:hint="eastAsia"/>
          <w:sz w:val="32"/>
          <w:szCs w:val="32"/>
        </w:rPr>
        <w:t>、</w:t>
      </w:r>
      <w:r>
        <w:rPr>
          <w:rFonts w:ascii="仿宋" w:eastAsia="仿宋" w:hAnsi="仿宋" w:hint="eastAsia"/>
          <w:sz w:val="32"/>
          <w:szCs w:val="32"/>
        </w:rPr>
        <w:t>&lt;</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lastRenderedPageBreak/>
        <w:t>≤。</w:t>
      </w:r>
    </w:p>
    <w:p w:rsidR="00BE2A6B" w:rsidRDefault="009023B1">
      <w:pPr>
        <w:adjustRightInd w:val="0"/>
        <w:snapToGrid w:val="0"/>
        <w:spacing w:line="560" w:lineRule="exact"/>
        <w:ind w:firstLineChars="200" w:firstLine="640"/>
        <w:rPr>
          <w:rStyle w:val="aa"/>
          <w:rFonts w:ascii="仿宋" w:eastAsia="仿宋" w:hAnsi="仿宋"/>
          <w:spacing w:val="-4"/>
          <w:sz w:val="32"/>
          <w:szCs w:val="32"/>
        </w:rPr>
      </w:pPr>
      <w:r>
        <w:rPr>
          <w:rFonts w:ascii="仿宋" w:eastAsia="仿宋" w:hAnsi="仿宋" w:hint="eastAsia"/>
          <w:sz w:val="32"/>
          <w:szCs w:val="32"/>
        </w:rPr>
        <w:t xml:space="preserve">10. </w:t>
      </w:r>
      <w:r>
        <w:rPr>
          <w:rFonts w:ascii="仿宋" w:eastAsia="仿宋" w:hAnsi="仿宋" w:hint="eastAsia"/>
          <w:sz w:val="32"/>
          <w:szCs w:val="32"/>
        </w:rPr>
        <w:t>部门预算项目支出绩效目标表的申报时间统一为</w:t>
      </w:r>
      <w:r>
        <w:rPr>
          <w:rFonts w:ascii="仿宋" w:eastAsia="仿宋" w:hAnsi="仿宋" w:hint="eastAsia"/>
          <w:sz w:val="32"/>
          <w:szCs w:val="32"/>
        </w:rPr>
        <w:t>2017</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10</w:t>
      </w:r>
      <w:r>
        <w:rPr>
          <w:rFonts w:ascii="仿宋" w:eastAsia="仿宋" w:hAnsi="仿宋" w:hint="eastAsia"/>
          <w:sz w:val="32"/>
          <w:szCs w:val="32"/>
        </w:rPr>
        <w:t>日</w:t>
      </w:r>
      <w:r>
        <w:rPr>
          <w:rFonts w:ascii="仿宋" w:eastAsia="仿宋" w:hAnsi="仿宋" w:hint="eastAsia"/>
          <w:sz w:val="32"/>
          <w:szCs w:val="32"/>
        </w:rPr>
        <w:t>-2017</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30</w:t>
      </w:r>
      <w:r>
        <w:rPr>
          <w:rFonts w:ascii="仿宋" w:eastAsia="仿宋" w:hAnsi="仿宋" w:hint="eastAsia"/>
          <w:sz w:val="32"/>
          <w:szCs w:val="32"/>
        </w:rPr>
        <w:t>日，项目支出绩效目标自</w:t>
      </w:r>
    </w:p>
    <w:sectPr w:rsidR="00BE2A6B" w:rsidSect="00BE2A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3B1" w:rsidRDefault="009023B1" w:rsidP="00BE2A6B">
      <w:r>
        <w:separator/>
      </w:r>
    </w:p>
  </w:endnote>
  <w:endnote w:type="continuationSeparator" w:id="0">
    <w:p w:rsidR="009023B1" w:rsidRDefault="009023B1" w:rsidP="00BE2A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Uighur">
    <w:panose1 w:val="02000000000000000000"/>
    <w:charset w:val="00"/>
    <w:family w:val="auto"/>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7892034"/>
      <w:docPartObj>
        <w:docPartGallery w:val="AutoText"/>
      </w:docPartObj>
    </w:sdtPr>
    <w:sdtContent>
      <w:p w:rsidR="00BE2A6B" w:rsidRDefault="00BE2A6B">
        <w:pPr>
          <w:pStyle w:val="a5"/>
          <w:jc w:val="center"/>
        </w:pPr>
        <w:r>
          <w:fldChar w:fldCharType="begin"/>
        </w:r>
        <w:r w:rsidR="009023B1">
          <w:instrText>PAGE   \* MERGEFORMAT</w:instrText>
        </w:r>
        <w:r>
          <w:fldChar w:fldCharType="separate"/>
        </w:r>
        <w:r w:rsidR="005710F2" w:rsidRPr="005710F2">
          <w:rPr>
            <w:noProof/>
            <w:lang w:val="zh-CN"/>
          </w:rPr>
          <w:t>1</w:t>
        </w:r>
        <w:r>
          <w:fldChar w:fldCharType="end"/>
        </w:r>
      </w:p>
    </w:sdtContent>
  </w:sdt>
  <w:p w:rsidR="00BE2A6B" w:rsidRDefault="00BE2A6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3B1" w:rsidRDefault="009023B1" w:rsidP="00BE2A6B">
      <w:r>
        <w:separator/>
      </w:r>
    </w:p>
  </w:footnote>
  <w:footnote w:type="continuationSeparator" w:id="0">
    <w:p w:rsidR="009023B1" w:rsidRDefault="009023B1" w:rsidP="00BE2A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30D9"/>
    <w:rsid w:val="000178B9"/>
    <w:rsid w:val="000256AA"/>
    <w:rsid w:val="00077A23"/>
    <w:rsid w:val="00097827"/>
    <w:rsid w:val="0012208E"/>
    <w:rsid w:val="00135256"/>
    <w:rsid w:val="001678E6"/>
    <w:rsid w:val="001A4E1F"/>
    <w:rsid w:val="001A57B9"/>
    <w:rsid w:val="001C3847"/>
    <w:rsid w:val="001E6EBA"/>
    <w:rsid w:val="001F3031"/>
    <w:rsid w:val="00210A26"/>
    <w:rsid w:val="002A2532"/>
    <w:rsid w:val="00365250"/>
    <w:rsid w:val="0036624C"/>
    <w:rsid w:val="00385849"/>
    <w:rsid w:val="004D4CDD"/>
    <w:rsid w:val="0050167F"/>
    <w:rsid w:val="00514506"/>
    <w:rsid w:val="005162F1"/>
    <w:rsid w:val="00530B23"/>
    <w:rsid w:val="00535153"/>
    <w:rsid w:val="005710F2"/>
    <w:rsid w:val="00575CFE"/>
    <w:rsid w:val="00592D09"/>
    <w:rsid w:val="00674A1C"/>
    <w:rsid w:val="00675D58"/>
    <w:rsid w:val="006B5975"/>
    <w:rsid w:val="006D3EFB"/>
    <w:rsid w:val="006F2E6D"/>
    <w:rsid w:val="007218B8"/>
    <w:rsid w:val="00750D53"/>
    <w:rsid w:val="00785FDE"/>
    <w:rsid w:val="007A0351"/>
    <w:rsid w:val="007A14BC"/>
    <w:rsid w:val="007C1025"/>
    <w:rsid w:val="007E6845"/>
    <w:rsid w:val="007F5F8A"/>
    <w:rsid w:val="00817B42"/>
    <w:rsid w:val="00826CA1"/>
    <w:rsid w:val="00835B7F"/>
    <w:rsid w:val="00855E3A"/>
    <w:rsid w:val="009023B1"/>
    <w:rsid w:val="00922CB9"/>
    <w:rsid w:val="00926FD0"/>
    <w:rsid w:val="009B526F"/>
    <w:rsid w:val="009C1AFD"/>
    <w:rsid w:val="00A26421"/>
    <w:rsid w:val="00A4293B"/>
    <w:rsid w:val="00A83BD5"/>
    <w:rsid w:val="00B06CA5"/>
    <w:rsid w:val="00B37D18"/>
    <w:rsid w:val="00B41F61"/>
    <w:rsid w:val="00B55332"/>
    <w:rsid w:val="00B86E8C"/>
    <w:rsid w:val="00BE118C"/>
    <w:rsid w:val="00BE1A00"/>
    <w:rsid w:val="00BE2A6B"/>
    <w:rsid w:val="00BE5D51"/>
    <w:rsid w:val="00C22CF0"/>
    <w:rsid w:val="00C56C72"/>
    <w:rsid w:val="00CA5A8F"/>
    <w:rsid w:val="00CA6457"/>
    <w:rsid w:val="00CB0B2C"/>
    <w:rsid w:val="00CC6E4D"/>
    <w:rsid w:val="00D17F2E"/>
    <w:rsid w:val="00D46194"/>
    <w:rsid w:val="00D752BD"/>
    <w:rsid w:val="00E01293"/>
    <w:rsid w:val="00E769FE"/>
    <w:rsid w:val="00E87707"/>
    <w:rsid w:val="00EA2CBE"/>
    <w:rsid w:val="00EB07D3"/>
    <w:rsid w:val="00F32FEE"/>
    <w:rsid w:val="00F43136"/>
    <w:rsid w:val="025073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A6B"/>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BE2A6B"/>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BE2A6B"/>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BE2A6B"/>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BE2A6B"/>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BE2A6B"/>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BE2A6B"/>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BE2A6B"/>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BE2A6B"/>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BE2A6B"/>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BE2A6B"/>
    <w:rPr>
      <w:rFonts w:ascii="宋体"/>
      <w:sz w:val="18"/>
      <w:szCs w:val="18"/>
    </w:rPr>
  </w:style>
  <w:style w:type="paragraph" w:styleId="a4">
    <w:name w:val="Balloon Text"/>
    <w:basedOn w:val="a"/>
    <w:link w:val="Char0"/>
    <w:uiPriority w:val="99"/>
    <w:semiHidden/>
    <w:unhideWhenUsed/>
    <w:qFormat/>
    <w:rsid w:val="00BE2A6B"/>
    <w:rPr>
      <w:sz w:val="18"/>
      <w:szCs w:val="18"/>
    </w:rPr>
  </w:style>
  <w:style w:type="paragraph" w:styleId="a5">
    <w:name w:val="footer"/>
    <w:basedOn w:val="a"/>
    <w:link w:val="Char1"/>
    <w:uiPriority w:val="99"/>
    <w:unhideWhenUsed/>
    <w:qFormat/>
    <w:rsid w:val="00BE2A6B"/>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rsid w:val="00BE2A6B"/>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BE2A6B"/>
    <w:pPr>
      <w:widowControl/>
      <w:spacing w:after="60"/>
      <w:jc w:val="center"/>
      <w:outlineLvl w:val="1"/>
    </w:pPr>
    <w:rPr>
      <w:rFonts w:asciiTheme="majorHAnsi" w:eastAsiaTheme="majorEastAsia" w:hAnsiTheme="majorHAnsi"/>
      <w:kern w:val="0"/>
      <w:sz w:val="24"/>
    </w:rPr>
  </w:style>
  <w:style w:type="paragraph" w:styleId="a8">
    <w:name w:val="Normal (Web)"/>
    <w:basedOn w:val="a"/>
    <w:uiPriority w:val="99"/>
    <w:unhideWhenUsed/>
    <w:rsid w:val="00BE2A6B"/>
    <w:pPr>
      <w:widowControl/>
      <w:spacing w:before="100" w:beforeAutospacing="1" w:after="100" w:afterAutospacing="1"/>
      <w:jc w:val="left"/>
    </w:pPr>
    <w:rPr>
      <w:rFonts w:ascii="宋体" w:hAnsi="宋体" w:cs="宋体"/>
      <w:kern w:val="0"/>
      <w:sz w:val="24"/>
      <w:lang w:bidi="ug-CN"/>
    </w:rPr>
  </w:style>
  <w:style w:type="paragraph" w:styleId="a9">
    <w:name w:val="Title"/>
    <w:basedOn w:val="a"/>
    <w:next w:val="a"/>
    <w:link w:val="Char4"/>
    <w:uiPriority w:val="10"/>
    <w:qFormat/>
    <w:rsid w:val="00BE2A6B"/>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0"/>
    <w:qFormat/>
    <w:rsid w:val="00BE2A6B"/>
    <w:rPr>
      <w:b/>
      <w:bCs/>
    </w:rPr>
  </w:style>
  <w:style w:type="character" w:styleId="ab">
    <w:name w:val="Emphasis"/>
    <w:basedOn w:val="a0"/>
    <w:uiPriority w:val="20"/>
    <w:qFormat/>
    <w:rsid w:val="00BE2A6B"/>
    <w:rPr>
      <w:rFonts w:asciiTheme="minorHAnsi" w:hAnsiTheme="minorHAnsi"/>
      <w:b/>
      <w:i/>
      <w:iCs/>
    </w:rPr>
  </w:style>
  <w:style w:type="character" w:customStyle="1" w:styleId="1Char">
    <w:name w:val="标题 1 Char"/>
    <w:basedOn w:val="a0"/>
    <w:link w:val="1"/>
    <w:uiPriority w:val="9"/>
    <w:qFormat/>
    <w:rsid w:val="00BE2A6B"/>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BE2A6B"/>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BE2A6B"/>
    <w:rPr>
      <w:rFonts w:asciiTheme="majorHAnsi" w:eastAsiaTheme="majorEastAsia" w:hAnsiTheme="majorHAnsi"/>
      <w:b/>
      <w:bCs/>
      <w:sz w:val="26"/>
      <w:szCs w:val="26"/>
    </w:rPr>
  </w:style>
  <w:style w:type="character" w:customStyle="1" w:styleId="4Char">
    <w:name w:val="标题 4 Char"/>
    <w:basedOn w:val="a0"/>
    <w:link w:val="4"/>
    <w:uiPriority w:val="9"/>
    <w:semiHidden/>
    <w:rsid w:val="00BE2A6B"/>
    <w:rPr>
      <w:b/>
      <w:bCs/>
      <w:sz w:val="28"/>
      <w:szCs w:val="28"/>
    </w:rPr>
  </w:style>
  <w:style w:type="character" w:customStyle="1" w:styleId="5Char">
    <w:name w:val="标题 5 Char"/>
    <w:basedOn w:val="a0"/>
    <w:link w:val="5"/>
    <w:uiPriority w:val="9"/>
    <w:semiHidden/>
    <w:rsid w:val="00BE2A6B"/>
    <w:rPr>
      <w:b/>
      <w:bCs/>
      <w:i/>
      <w:iCs/>
      <w:sz w:val="26"/>
      <w:szCs w:val="26"/>
    </w:rPr>
  </w:style>
  <w:style w:type="character" w:customStyle="1" w:styleId="6Char">
    <w:name w:val="标题 6 Char"/>
    <w:basedOn w:val="a0"/>
    <w:link w:val="6"/>
    <w:uiPriority w:val="9"/>
    <w:semiHidden/>
    <w:qFormat/>
    <w:rsid w:val="00BE2A6B"/>
    <w:rPr>
      <w:b/>
      <w:bCs/>
    </w:rPr>
  </w:style>
  <w:style w:type="character" w:customStyle="1" w:styleId="7Char">
    <w:name w:val="标题 7 Char"/>
    <w:basedOn w:val="a0"/>
    <w:link w:val="7"/>
    <w:uiPriority w:val="9"/>
    <w:semiHidden/>
    <w:rsid w:val="00BE2A6B"/>
    <w:rPr>
      <w:sz w:val="24"/>
      <w:szCs w:val="24"/>
    </w:rPr>
  </w:style>
  <w:style w:type="character" w:customStyle="1" w:styleId="8Char">
    <w:name w:val="标题 8 Char"/>
    <w:basedOn w:val="a0"/>
    <w:link w:val="8"/>
    <w:uiPriority w:val="9"/>
    <w:semiHidden/>
    <w:qFormat/>
    <w:rsid w:val="00BE2A6B"/>
    <w:rPr>
      <w:i/>
      <w:iCs/>
      <w:sz w:val="24"/>
      <w:szCs w:val="24"/>
    </w:rPr>
  </w:style>
  <w:style w:type="character" w:customStyle="1" w:styleId="9Char">
    <w:name w:val="标题 9 Char"/>
    <w:basedOn w:val="a0"/>
    <w:link w:val="9"/>
    <w:uiPriority w:val="9"/>
    <w:semiHidden/>
    <w:qFormat/>
    <w:rsid w:val="00BE2A6B"/>
    <w:rPr>
      <w:rFonts w:asciiTheme="majorHAnsi" w:eastAsiaTheme="majorEastAsia" w:hAnsiTheme="majorHAnsi"/>
    </w:rPr>
  </w:style>
  <w:style w:type="character" w:customStyle="1" w:styleId="Char4">
    <w:name w:val="标题 Char"/>
    <w:basedOn w:val="a0"/>
    <w:link w:val="a9"/>
    <w:uiPriority w:val="10"/>
    <w:qFormat/>
    <w:rsid w:val="00BE2A6B"/>
    <w:rPr>
      <w:rFonts w:asciiTheme="majorHAnsi" w:eastAsiaTheme="majorEastAsia" w:hAnsiTheme="majorHAnsi"/>
      <w:b/>
      <w:bCs/>
      <w:kern w:val="28"/>
      <w:sz w:val="32"/>
      <w:szCs w:val="32"/>
    </w:rPr>
  </w:style>
  <w:style w:type="character" w:customStyle="1" w:styleId="Char3">
    <w:name w:val="副标题 Char"/>
    <w:basedOn w:val="a0"/>
    <w:link w:val="a7"/>
    <w:uiPriority w:val="11"/>
    <w:rsid w:val="00BE2A6B"/>
    <w:rPr>
      <w:rFonts w:asciiTheme="majorHAnsi" w:eastAsiaTheme="majorEastAsia" w:hAnsiTheme="majorHAnsi"/>
      <w:sz w:val="24"/>
      <w:szCs w:val="24"/>
    </w:rPr>
  </w:style>
  <w:style w:type="paragraph" w:styleId="ac">
    <w:name w:val="No Spacing"/>
    <w:basedOn w:val="a"/>
    <w:uiPriority w:val="1"/>
    <w:qFormat/>
    <w:rsid w:val="00BE2A6B"/>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BE2A6B"/>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5"/>
    <w:uiPriority w:val="29"/>
    <w:qFormat/>
    <w:rsid w:val="00BE2A6B"/>
    <w:pPr>
      <w:widowControl/>
      <w:jc w:val="left"/>
    </w:pPr>
    <w:rPr>
      <w:rFonts w:asciiTheme="minorHAnsi" w:eastAsiaTheme="minorEastAsia" w:hAnsiTheme="minorHAnsi"/>
      <w:i/>
      <w:kern w:val="0"/>
      <w:sz w:val="24"/>
    </w:rPr>
  </w:style>
  <w:style w:type="character" w:customStyle="1" w:styleId="Char5">
    <w:name w:val="引用 Char"/>
    <w:basedOn w:val="a0"/>
    <w:link w:val="ae"/>
    <w:uiPriority w:val="29"/>
    <w:rsid w:val="00BE2A6B"/>
    <w:rPr>
      <w:i/>
      <w:sz w:val="24"/>
      <w:szCs w:val="24"/>
    </w:rPr>
  </w:style>
  <w:style w:type="paragraph" w:styleId="af">
    <w:name w:val="Intense Quote"/>
    <w:basedOn w:val="a"/>
    <w:next w:val="a"/>
    <w:link w:val="Char6"/>
    <w:uiPriority w:val="30"/>
    <w:qFormat/>
    <w:rsid w:val="00BE2A6B"/>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f"/>
    <w:uiPriority w:val="30"/>
    <w:qFormat/>
    <w:rsid w:val="00BE2A6B"/>
    <w:rPr>
      <w:b/>
      <w:i/>
      <w:sz w:val="24"/>
    </w:rPr>
  </w:style>
  <w:style w:type="character" w:customStyle="1" w:styleId="10">
    <w:name w:val="不明显强调1"/>
    <w:uiPriority w:val="19"/>
    <w:qFormat/>
    <w:rsid w:val="00BE2A6B"/>
    <w:rPr>
      <w:i/>
      <w:color w:val="5A5A5A" w:themeColor="text1" w:themeTint="A5"/>
    </w:rPr>
  </w:style>
  <w:style w:type="character" w:customStyle="1" w:styleId="11">
    <w:name w:val="明显强调1"/>
    <w:basedOn w:val="a0"/>
    <w:uiPriority w:val="21"/>
    <w:qFormat/>
    <w:rsid w:val="00BE2A6B"/>
    <w:rPr>
      <w:b/>
      <w:i/>
      <w:sz w:val="24"/>
      <w:szCs w:val="24"/>
      <w:u w:val="single"/>
    </w:rPr>
  </w:style>
  <w:style w:type="character" w:customStyle="1" w:styleId="12">
    <w:name w:val="不明显参考1"/>
    <w:basedOn w:val="a0"/>
    <w:uiPriority w:val="31"/>
    <w:qFormat/>
    <w:rsid w:val="00BE2A6B"/>
    <w:rPr>
      <w:sz w:val="24"/>
      <w:szCs w:val="24"/>
      <w:u w:val="single"/>
    </w:rPr>
  </w:style>
  <w:style w:type="character" w:customStyle="1" w:styleId="13">
    <w:name w:val="明显参考1"/>
    <w:basedOn w:val="a0"/>
    <w:uiPriority w:val="32"/>
    <w:qFormat/>
    <w:rsid w:val="00BE2A6B"/>
    <w:rPr>
      <w:b/>
      <w:sz w:val="24"/>
      <w:u w:val="single"/>
    </w:rPr>
  </w:style>
  <w:style w:type="character" w:customStyle="1" w:styleId="14">
    <w:name w:val="书籍标题1"/>
    <w:basedOn w:val="a0"/>
    <w:uiPriority w:val="33"/>
    <w:qFormat/>
    <w:rsid w:val="00BE2A6B"/>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BE2A6B"/>
    <w:pPr>
      <w:outlineLvl w:val="9"/>
    </w:pPr>
    <w:rPr>
      <w:lang w:eastAsia="en-US" w:bidi="en-US"/>
    </w:rPr>
  </w:style>
  <w:style w:type="character" w:customStyle="1" w:styleId="Char2">
    <w:name w:val="页眉 Char"/>
    <w:basedOn w:val="a0"/>
    <w:link w:val="a6"/>
    <w:uiPriority w:val="99"/>
    <w:qFormat/>
    <w:rsid w:val="00BE2A6B"/>
    <w:rPr>
      <w:rFonts w:ascii="Calibri" w:eastAsia="宋体" w:hAnsi="Calibri"/>
      <w:kern w:val="2"/>
      <w:sz w:val="18"/>
      <w:szCs w:val="18"/>
    </w:rPr>
  </w:style>
  <w:style w:type="character" w:customStyle="1" w:styleId="Char1">
    <w:name w:val="页脚 Char"/>
    <w:basedOn w:val="a0"/>
    <w:link w:val="a5"/>
    <w:uiPriority w:val="99"/>
    <w:qFormat/>
    <w:rsid w:val="00BE2A6B"/>
    <w:rPr>
      <w:rFonts w:ascii="Calibri" w:eastAsia="宋体" w:hAnsi="Calibri"/>
      <w:kern w:val="2"/>
      <w:sz w:val="18"/>
      <w:szCs w:val="18"/>
    </w:rPr>
  </w:style>
  <w:style w:type="character" w:customStyle="1" w:styleId="Char">
    <w:name w:val="文档结构图 Char"/>
    <w:basedOn w:val="a0"/>
    <w:link w:val="a3"/>
    <w:uiPriority w:val="99"/>
    <w:semiHidden/>
    <w:rsid w:val="00BE2A6B"/>
    <w:rPr>
      <w:rFonts w:ascii="宋体" w:eastAsia="宋体" w:hAnsi="Times New Roman"/>
      <w:kern w:val="2"/>
      <w:sz w:val="18"/>
      <w:szCs w:val="18"/>
    </w:rPr>
  </w:style>
  <w:style w:type="character" w:customStyle="1" w:styleId="Char0">
    <w:name w:val="批注框文本 Char"/>
    <w:basedOn w:val="a0"/>
    <w:link w:val="a4"/>
    <w:uiPriority w:val="99"/>
    <w:semiHidden/>
    <w:rsid w:val="00BE2A6B"/>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DE139-8E9E-4AA9-913F-2F8D98E03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443</Words>
  <Characters>2529</Characters>
  <Application>Microsoft Office Word</Application>
  <DocSecurity>0</DocSecurity>
  <Lines>21</Lines>
  <Paragraphs>5</Paragraphs>
  <ScaleCrop>false</ScaleCrop>
  <Company>微软中国</Company>
  <LinksUpToDate>false</LinksUpToDate>
  <CharactersWithSpaces>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18</cp:revision>
  <cp:lastPrinted>2018-12-17T10:15:00Z</cp:lastPrinted>
  <dcterms:created xsi:type="dcterms:W3CDTF">2018-12-17T10:14:00Z</dcterms:created>
  <dcterms:modified xsi:type="dcterms:W3CDTF">2019-09-19T02:31:00Z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